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7" w:rsidRDefault="00F52137" w:rsidP="00421701">
      <w:pPr>
        <w:rPr>
          <w:rFonts w:ascii="ScalaSansPro-Regular" w:hAnsi="ScalaSansPro-Regular"/>
          <w:bCs/>
          <w:sz w:val="16"/>
          <w:szCs w:val="16"/>
        </w:rPr>
      </w:pPr>
      <w:r>
        <w:rPr>
          <w:rFonts w:ascii="ScalaSansPro-Regular" w:hAnsi="ScalaSansPro-Regular"/>
          <w:sz w:val="24"/>
        </w:rPr>
        <w:t xml:space="preserve">                                                                                </w:t>
      </w: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6EC1E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="004B3EEB">
        <w:rPr>
          <w:rFonts w:ascii="ScalaSansPro-Regular" w:hAnsi="ScalaSansPro-Regular"/>
          <w:sz w:val="22"/>
          <w:szCs w:val="22"/>
        </w:rPr>
        <w:t xml:space="preserve"> </w:t>
      </w:r>
      <w:r w:rsidR="004B3EEB" w:rsidRPr="004B3EEB">
        <w:rPr>
          <w:rFonts w:ascii="ScalaSansPro-Regular" w:hAnsi="ScalaSansPro-Regular"/>
          <w:sz w:val="22"/>
          <w:szCs w:val="22"/>
        </w:rPr>
        <w:t>wykonanie druku publikacji do wystawy „Umiejscowienie” Romana Nowotarskiego wraz z dostawą i wniesieniem do magazynu ASP w Katowicach (ul. Raciborska 50).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4B3EEB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</w:t>
      </w:r>
    </w:p>
    <w:p w:rsidR="00536C61" w:rsidRDefault="00F52137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bookmarkStart w:id="0" w:name="_GoBack"/>
      <w:bookmarkEnd w:id="0"/>
      <w:r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7957BA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="00421701">
        <w:rPr>
          <w:rFonts w:ascii="ScalaSansPro-Regular" w:hAnsi="ScalaSansPro-Regular"/>
          <w:i/>
          <w:sz w:val="22"/>
          <w:szCs w:val="22"/>
        </w:rPr>
        <w:t>o 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zamówienia publiczne na podstawie ustawy z dnia 28 października 2002 r. o odpowiedzialności podmiotów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="00421701">
        <w:rPr>
          <w:rFonts w:ascii="ScalaSansPro-Regular" w:hAnsi="ScalaSansPro-Regular"/>
          <w:i/>
          <w:sz w:val="22"/>
          <w:szCs w:val="22"/>
        </w:rPr>
        <w:t>o 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późn.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Pzp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Pzp).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>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4B3EEB" w:rsidRDefault="004B3EEB" w:rsidP="007957BA">
      <w:pPr>
        <w:rPr>
          <w:rFonts w:ascii="ScalaSansPro-Regular" w:hAnsi="ScalaSansPro-Regular"/>
          <w:b/>
          <w:sz w:val="22"/>
          <w:szCs w:val="22"/>
        </w:rPr>
      </w:pPr>
    </w:p>
    <w:p w:rsidR="004B3EEB" w:rsidRDefault="004B3EEB" w:rsidP="007957BA">
      <w:pPr>
        <w:rPr>
          <w:rFonts w:ascii="ScalaSansPro-Regular" w:hAnsi="ScalaSansPro-Regular"/>
          <w:b/>
          <w:sz w:val="22"/>
          <w:szCs w:val="22"/>
        </w:rPr>
      </w:pPr>
    </w:p>
    <w:p w:rsidR="004B3EEB" w:rsidRDefault="004B3EEB" w:rsidP="007957BA">
      <w:pPr>
        <w:rPr>
          <w:rFonts w:ascii="ScalaSansPro-Regular" w:hAnsi="ScalaSansPro-Regular"/>
          <w:b/>
          <w:sz w:val="22"/>
          <w:szCs w:val="22"/>
        </w:rPr>
      </w:pPr>
    </w:p>
    <w:p w:rsidR="004B3EEB" w:rsidRDefault="004B3EEB" w:rsidP="007957BA">
      <w:pPr>
        <w:rPr>
          <w:rFonts w:ascii="ScalaSansPro-Regular" w:hAnsi="ScalaSansPro-Regular"/>
          <w:b/>
          <w:sz w:val="22"/>
          <w:szCs w:val="22"/>
        </w:rPr>
      </w:pPr>
    </w:p>
    <w:p w:rsidR="004B3EEB" w:rsidRDefault="004B3EEB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niniejszym postępowaniu, tj.: …………………………………………………………… (podać pełną nazwę/firmę, adres, a także w zależności od podmiotu: NIP/PESEL, KRS/CEiDG)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zależności od podmiotu: NIP/PESEL, KRS/CEiDG),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="00421701">
        <w:rPr>
          <w:rFonts w:ascii="ScalaSansPro-Regular" w:hAnsi="ScalaSansPro-Regular"/>
          <w:sz w:val="22"/>
          <w:szCs w:val="22"/>
        </w:rPr>
        <w:t>o </w:t>
      </w:r>
      <w:r w:rsidRPr="007957BA">
        <w:rPr>
          <w:rFonts w:ascii="ScalaSansPro-Regular" w:hAnsi="ScalaSansPro-Regular"/>
          <w:sz w:val="22"/>
          <w:szCs w:val="22"/>
        </w:rPr>
        <w:t>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421701"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64" w:rsidRDefault="00406464" w:rsidP="00025C6D">
      <w:r>
        <w:separator/>
      </w:r>
    </w:p>
  </w:endnote>
  <w:endnote w:type="continuationSeparator" w:id="0">
    <w:p w:rsidR="00406464" w:rsidRDefault="00406464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406464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4B3EEB">
          <w:rPr>
            <w:rFonts w:ascii="ScalaSansPro-Regular" w:hAnsi="ScalaSansPro-Regular"/>
            <w:noProof/>
          </w:rPr>
          <w:t>3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406464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64" w:rsidRDefault="00406464" w:rsidP="00025C6D">
      <w:r>
        <w:separator/>
      </w:r>
    </w:p>
  </w:footnote>
  <w:footnote w:type="continuationSeparator" w:id="0">
    <w:p w:rsidR="00406464" w:rsidRDefault="00406464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1"/>
    <w:rsid w:val="00025C6D"/>
    <w:rsid w:val="000721FE"/>
    <w:rsid w:val="001D6951"/>
    <w:rsid w:val="002E181E"/>
    <w:rsid w:val="003B1A30"/>
    <w:rsid w:val="003F27D7"/>
    <w:rsid w:val="00406464"/>
    <w:rsid w:val="00421701"/>
    <w:rsid w:val="004B3EEB"/>
    <w:rsid w:val="00536C61"/>
    <w:rsid w:val="00696A35"/>
    <w:rsid w:val="00771267"/>
    <w:rsid w:val="00794551"/>
    <w:rsid w:val="007957BA"/>
    <w:rsid w:val="007C7054"/>
    <w:rsid w:val="00A53FE6"/>
    <w:rsid w:val="00AB2A96"/>
    <w:rsid w:val="00CB1191"/>
    <w:rsid w:val="00D2131F"/>
    <w:rsid w:val="00E128DB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E5D2B-7959-4083-BA38-9B10D625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7E62-F687-4830-86C6-10A730DF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Barbara Firla</cp:lastModifiedBy>
  <cp:revision>2</cp:revision>
  <cp:lastPrinted>2017-04-11T10:13:00Z</cp:lastPrinted>
  <dcterms:created xsi:type="dcterms:W3CDTF">2018-08-27T08:56:00Z</dcterms:created>
  <dcterms:modified xsi:type="dcterms:W3CDTF">2018-08-27T08:56:00Z</dcterms:modified>
</cp:coreProperties>
</file>