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D" w:rsidRDefault="00E73729" w:rsidP="00CE7C5D">
      <w:pPr>
        <w:jc w:val="right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Załącznik nr 2</w:t>
      </w:r>
      <w:bookmarkStart w:id="0" w:name="_GoBack"/>
      <w:bookmarkEnd w:id="0"/>
    </w:p>
    <w:p w:rsidR="00CE7C5D" w:rsidRPr="00CE7C5D" w:rsidRDefault="00CE7C5D" w:rsidP="00CE7C5D">
      <w:pPr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ASP-DAT-2312-     /2017</w:t>
      </w:r>
      <w:r w:rsidR="00F52137">
        <w:rPr>
          <w:rFonts w:ascii="ScalaSansPro-Regular" w:hAnsi="ScalaSansPro-Regular"/>
          <w:sz w:val="24"/>
        </w:rPr>
        <w:t xml:space="preserve">                                                         </w:t>
      </w: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="00851D2F">
        <w:rPr>
          <w:rFonts w:ascii="ScalaSansPro-Regular" w:hAnsi="ScalaSansPro-Regular"/>
          <w:sz w:val="22"/>
          <w:szCs w:val="22"/>
        </w:rPr>
        <w:t xml:space="preserve"> </w:t>
      </w:r>
      <w:r w:rsidR="00851D2F" w:rsidRPr="00851D2F">
        <w:rPr>
          <w:rFonts w:ascii="ScalaSansPro-Regular" w:hAnsi="ScalaSansPro-Regular"/>
          <w:b/>
          <w:sz w:val="22"/>
          <w:szCs w:val="22"/>
        </w:rPr>
        <w:t>Świadczenie usługi konserwacji dźwigów w budynkach Akademii Sztuk Pięknych                      w Katowicach przy ul. Koszarowej 19 oraz ul. Raciborskiej 50.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36C61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7957BA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D6B72" w:rsidRDefault="007D6B72" w:rsidP="007957BA">
      <w:pPr>
        <w:rPr>
          <w:rFonts w:ascii="ScalaSansPro-Regular" w:hAnsi="ScalaSansPro-Regular"/>
          <w:b/>
          <w:sz w:val="22"/>
          <w:szCs w:val="22"/>
        </w:rPr>
      </w:pPr>
    </w:p>
    <w:p w:rsidR="007D6B72" w:rsidRDefault="007D6B72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56" w:rsidRDefault="00E17256" w:rsidP="00025C6D">
      <w:r>
        <w:separator/>
      </w:r>
    </w:p>
  </w:endnote>
  <w:endnote w:type="continuationSeparator" w:id="0">
    <w:p w:rsidR="00E17256" w:rsidRDefault="00E17256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1725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E73729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E17256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56" w:rsidRDefault="00E17256" w:rsidP="00025C6D">
      <w:r>
        <w:separator/>
      </w:r>
    </w:p>
  </w:footnote>
  <w:footnote w:type="continuationSeparator" w:id="0">
    <w:p w:rsidR="00E17256" w:rsidRDefault="00E17256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A2A61"/>
    <w:rsid w:val="001D6951"/>
    <w:rsid w:val="002E181E"/>
    <w:rsid w:val="003F27D7"/>
    <w:rsid w:val="00536C61"/>
    <w:rsid w:val="00696A35"/>
    <w:rsid w:val="00771267"/>
    <w:rsid w:val="00794551"/>
    <w:rsid w:val="007957BA"/>
    <w:rsid w:val="007C7054"/>
    <w:rsid w:val="007D6B72"/>
    <w:rsid w:val="00851D2F"/>
    <w:rsid w:val="009E279B"/>
    <w:rsid w:val="00A53FE6"/>
    <w:rsid w:val="00AB2A96"/>
    <w:rsid w:val="00CB1191"/>
    <w:rsid w:val="00CE7C5D"/>
    <w:rsid w:val="00D2131F"/>
    <w:rsid w:val="00E128DB"/>
    <w:rsid w:val="00E17256"/>
    <w:rsid w:val="00E73729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B0A7-3AFF-443F-AD5A-FE5B1161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4</cp:revision>
  <cp:lastPrinted>2017-04-11T10:13:00Z</cp:lastPrinted>
  <dcterms:created xsi:type="dcterms:W3CDTF">2017-11-21T09:54:00Z</dcterms:created>
  <dcterms:modified xsi:type="dcterms:W3CDTF">2017-11-21T12:27:00Z</dcterms:modified>
</cp:coreProperties>
</file>