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sprzętu </w:t>
      </w:r>
      <w:r w:rsidR="000C54D7">
        <w:rPr>
          <w:rFonts w:ascii="ScalaSansPro-Regular" w:hAnsi="ScalaSansPro-Regular"/>
          <w:sz w:val="22"/>
          <w:szCs w:val="22"/>
        </w:rPr>
        <w:t>audiowizualnego</w:t>
      </w:r>
      <w:r w:rsidR="005D32FD">
        <w:rPr>
          <w:rFonts w:ascii="ScalaSansPro-Regular" w:hAnsi="ScalaSansPro-Regular"/>
          <w:sz w:val="22"/>
          <w:szCs w:val="22"/>
        </w:rPr>
        <w:t>, komputera holograficznego</w:t>
      </w:r>
      <w:r w:rsidR="001F5498">
        <w:rPr>
          <w:rFonts w:ascii="ScalaSansPro-Regular" w:hAnsi="ScalaSansPro-Regular"/>
          <w:sz w:val="22"/>
          <w:szCs w:val="22"/>
        </w:rPr>
        <w:t xml:space="preserve"> </w:t>
      </w:r>
      <w:r w:rsidR="005D32FD">
        <w:rPr>
          <w:rFonts w:ascii="ScalaSansPro-Regular" w:hAnsi="ScalaSansPro-Regular"/>
          <w:sz w:val="22"/>
          <w:szCs w:val="22"/>
        </w:rPr>
        <w:t xml:space="preserve">oraz oprogramowania do edycji głosu 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>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73" w:rsidRDefault="009E6073" w:rsidP="00025C6D">
      <w:r>
        <w:separator/>
      </w:r>
    </w:p>
  </w:endnote>
  <w:endnote w:type="continuationSeparator" w:id="0">
    <w:p w:rsidR="009E6073" w:rsidRDefault="009E6073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E607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D32FD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9E6073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73" w:rsidRDefault="009E6073" w:rsidP="00025C6D">
      <w:r>
        <w:separator/>
      </w:r>
    </w:p>
  </w:footnote>
  <w:footnote w:type="continuationSeparator" w:id="0">
    <w:p w:rsidR="009E6073" w:rsidRDefault="009E6073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0C54D7">
      <w:t>64/18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C54D7"/>
    <w:rsid w:val="001D6951"/>
    <w:rsid w:val="001F5498"/>
    <w:rsid w:val="002E181E"/>
    <w:rsid w:val="003F27D7"/>
    <w:rsid w:val="005008DB"/>
    <w:rsid w:val="00536C61"/>
    <w:rsid w:val="0059159A"/>
    <w:rsid w:val="005D32FD"/>
    <w:rsid w:val="00696A35"/>
    <w:rsid w:val="006E67D1"/>
    <w:rsid w:val="00771267"/>
    <w:rsid w:val="00794551"/>
    <w:rsid w:val="007957BA"/>
    <w:rsid w:val="007C7054"/>
    <w:rsid w:val="009958CC"/>
    <w:rsid w:val="009E6073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3294-E3DA-4E63-BBAE-484B215A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16</cp:revision>
  <cp:lastPrinted>2017-08-29T12:22:00Z</cp:lastPrinted>
  <dcterms:created xsi:type="dcterms:W3CDTF">2017-05-08T09:50:00Z</dcterms:created>
  <dcterms:modified xsi:type="dcterms:W3CDTF">2018-09-06T07:11:00Z</dcterms:modified>
</cp:coreProperties>
</file>